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働く環境・制度</w:t>
      </w:r>
    </w:p>
    <w:p>
      <w:pPr>
        <w:pStyle w:val="Note"/>
      </w:pPr>
      <w:r>
        <w:t xml:space="preserve">株式会社Welfareすずらん｜ホームページ案 原稿確認用（recruit-environment.html）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入社後の環境と制度</w:t>
      </w:r>
    </w:p>
    <w:p>
      <w:pPr>
        <w:pStyle w:val="Photo"/>
      </w:pPr>
      <w:r>
        <w:t xml:space="preserve">写真：研修や打ち合わせの場面</w:t>
      </w:r>
    </w:p>
    <w:p>
      <w:r>
        <w:t xml:space="preserve">働き続けられるかどうかは、入社してからの環境で決まります。</w:t>
      </w:r>
    </w:p>
    <w:p>
      <w:r>
        <w:t xml:space="preserve">このページでは、教育や研修の仕組み、資格取得の支援、福利厚生、子育てとの両立を支える手当、キャリアの進み方を、具体的な中身でご紹介します。</w:t>
      </w:r>
    </w:p>
    <w:p>
      <w:r>
        <w:t xml:space="preserve">このページの内容</w:t>
      </w:r>
    </w:p>
    <w:p>
      <w:pPr>
        <w:pStyle w:val="ListText"/>
      </w:pPr>
      <w:r>
        <w:t xml:space="preserve">・入社後の環境と制度</w:t>
      </w:r>
    </w:p>
    <w:p>
      <w:pPr>
        <w:pStyle w:val="ListText"/>
      </w:pPr>
      <w:r>
        <w:t xml:space="preserve">・教育・研修</w:t>
      </w:r>
    </w:p>
    <w:p>
      <w:pPr>
        <w:pStyle w:val="ListText"/>
      </w:pPr>
      <w:r>
        <w:t xml:space="preserve">・資格取得の支援</w:t>
      </w:r>
    </w:p>
    <w:p>
      <w:pPr>
        <w:pStyle w:val="ListText"/>
      </w:pPr>
      <w:r>
        <w:t xml:space="preserve">・福利厚生・就業条件</w:t>
      </w:r>
    </w:p>
    <w:p>
      <w:pPr>
        <w:pStyle w:val="ListText"/>
      </w:pPr>
      <w:r>
        <w:t xml:space="preserve">・子育てとの両立を支える手当</w:t>
      </w:r>
    </w:p>
    <w:p>
      <w:pPr>
        <w:pStyle w:val="ListText"/>
      </w:pPr>
      <w:r>
        <w:t xml:space="preserve">・キャリアの進み方</w:t>
      </w:r>
    </w:p>
    <w:p>
      <w:pPr>
        <w:pStyle w:val="ListText"/>
      </w:pPr>
      <w:r>
        <w:t xml:space="preserve">・デジタル機器のある職場で働きます</w:t>
      </w:r>
    </w:p>
    <w:p>
      <w:pPr>
        <w:pStyle w:val="ListText"/>
      </w:pPr>
      <w:r>
        <w:t xml:space="preserve">・制度の詳細は、実際の現場で聞いてみませんか</w:t>
      </w:r>
    </w:p>
    <w:p>
      <w:pPr>
        <w:pStyle w:val="Heading2"/>
      </w:pPr>
      <w:r>
        <w:t xml:space="preserve">教育・研修</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制度</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入社後の同行指導</w:t>
            </w:r>
          </w:p>
        </w:tc>
        <w:tc>
          <w:tcPr>
            <w:tcW w:w="6300" w:type="dxa"/>
          </w:tcPr>
          <w:p>
            <w:pPr>
              <w:pStyle w:val="TableText"/>
            </w:pPr>
            <w:r>
              <w:t xml:space="preserve">最大3か月間、先輩社員が同行して指導します。</w:t>
            </w:r>
          </w:p>
        </w:tc>
      </w:tr>
      <w:tr>
        <w:tc>
          <w:tcPr>
            <w:tcW w:w="2700" w:type="dxa"/>
            <w:shd w:val="clear" w:color="auto" w:fill="F3EFEC"/>
          </w:tcPr>
          <w:p>
            <w:pPr>
              <w:pStyle w:val="TableText"/>
            </w:pPr>
            <w:r>
              <w:rPr>
                <w:b/>
              </w:rPr>
              <w:t xml:space="preserve">施設内の研修</w:t>
            </w:r>
          </w:p>
        </w:tc>
        <w:tc>
          <w:tcPr>
            <w:tcW w:w="6300" w:type="dxa"/>
          </w:tcPr>
          <w:p>
            <w:pPr>
              <w:pStyle w:val="TableText"/>
            </w:pPr>
            <w:r>
              <w:t xml:space="preserve">事故などのリスクマネジメント、感染症等への予防対策を含む研修を行っています。</w:t>
            </w:r>
          </w:p>
        </w:tc>
      </w:tr>
    </w:tbl>
    <w:p/>
    <w:p>
      <w:pPr>
        <w:pStyle w:val="Heading2"/>
      </w:pPr>
      <w:r>
        <w:t xml:space="preserve">資格取得の支援</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実務者研修</w:t>
            </w:r>
          </w:p>
        </w:tc>
        <w:tc>
          <w:tcPr>
            <w:tcW w:w="6300" w:type="dxa"/>
          </w:tcPr>
          <w:p>
            <w:pPr>
              <w:pStyle w:val="TableText"/>
            </w:pPr>
            <w:r>
              <w:t xml:space="preserve">毎年15名以上の社員が、就業時間内に受講しています。</w:t>
            </w:r>
          </w:p>
        </w:tc>
      </w:tr>
      <w:tr>
        <w:tc>
          <w:tcPr>
            <w:tcW w:w="2700" w:type="dxa"/>
            <w:shd w:val="clear" w:color="auto" w:fill="F3EFEC"/>
          </w:tcPr>
          <w:p>
            <w:pPr>
              <w:pStyle w:val="TableText"/>
            </w:pPr>
            <w:r>
              <w:rPr>
                <w:b/>
              </w:rPr>
              <w:t xml:space="preserve">資格手当</w:t>
            </w:r>
          </w:p>
        </w:tc>
        <w:tc>
          <w:tcPr>
            <w:tcW w:w="6300" w:type="dxa"/>
          </w:tcPr>
          <w:p>
            <w:pPr>
              <w:pStyle w:val="TableText"/>
            </w:pPr>
            <w:r>
              <w:t xml:space="preserve">あり（所有資格により異なります）</w:t>
            </w:r>
          </w:p>
        </w:tc>
      </w:tr>
    </w:tbl>
    <w:p/>
    <w:p>
      <w:r>
        <w:t xml:space="preserve">働きながら資格を取ることは、時間の確保が難しいものです。就業時間内に受講できる仕組みがあることで、生活を変えずに次の資格を目指せます。</w:t>
      </w:r>
    </w:p>
    <w:p>
      <w:pPr>
        <w:pStyle w:val="Heading2"/>
      </w:pPr>
      <w:r>
        <w:t xml:space="preserve">福利厚生・就業条件</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内容</w:t>
            </w:r>
          </w:p>
        </w:tc>
      </w:tr>
      <w:tr>
        <w:tc>
          <w:tcPr>
            <w:tcW w:w="2700" w:type="dxa"/>
            <w:shd w:val="clear" w:color="auto" w:fill="F3EFEC"/>
          </w:tcPr>
          <w:p>
            <w:pPr>
              <w:pStyle w:val="TableText"/>
            </w:pPr>
            <w:r>
              <w:rPr>
                <w:b/>
              </w:rPr>
              <w:t xml:space="preserve">昇給</w:t>
            </w:r>
          </w:p>
        </w:tc>
        <w:tc>
          <w:tcPr>
            <w:tcW w:w="6300" w:type="dxa"/>
          </w:tcPr>
          <w:p>
            <w:pPr>
              <w:pStyle w:val="TableText"/>
            </w:pPr>
            <w:r>
              <w:t xml:space="preserve">年1回あり</w:t>
            </w:r>
          </w:p>
        </w:tc>
      </w:tr>
      <w:tr>
        <w:tc>
          <w:tcPr>
            <w:tcW w:w="2700" w:type="dxa"/>
            <w:shd w:val="clear" w:color="auto" w:fill="F3EFEC"/>
          </w:tcPr>
          <w:p>
            <w:pPr>
              <w:pStyle w:val="TableText"/>
            </w:pPr>
            <w:r>
              <w:rPr>
                <w:b/>
              </w:rPr>
              <w:t xml:space="preserve">賞与</w:t>
            </w:r>
          </w:p>
        </w:tc>
        <w:tc>
          <w:tcPr>
            <w:tcW w:w="6300" w:type="dxa"/>
          </w:tcPr>
          <w:p>
            <w:pPr>
              <w:pStyle w:val="TableText"/>
            </w:pPr>
            <w:r>
              <w:t xml:space="preserve">あり（年2回：業績による）</w:t>
            </w:r>
          </w:p>
        </w:tc>
      </w:tr>
      <w:tr>
        <w:tc>
          <w:tcPr>
            <w:tcW w:w="2700" w:type="dxa"/>
            <w:shd w:val="clear" w:color="auto" w:fill="F3EFEC"/>
          </w:tcPr>
          <w:p>
            <w:pPr>
              <w:pStyle w:val="TableText"/>
            </w:pPr>
            <w:r>
              <w:rPr>
                <w:b/>
              </w:rPr>
              <w:t xml:space="preserve">資格手当</w:t>
            </w:r>
          </w:p>
        </w:tc>
        <w:tc>
          <w:tcPr>
            <w:tcW w:w="6300" w:type="dxa"/>
          </w:tcPr>
          <w:p>
            <w:pPr>
              <w:pStyle w:val="TableText"/>
            </w:pPr>
            <w:r>
              <w:t xml:space="preserve">あり（所有資格により異なります）</w:t>
            </w:r>
          </w:p>
        </w:tc>
      </w:tr>
      <w:tr>
        <w:tc>
          <w:tcPr>
            <w:tcW w:w="2700" w:type="dxa"/>
            <w:shd w:val="clear" w:color="auto" w:fill="F3EFEC"/>
          </w:tcPr>
          <w:p>
            <w:pPr>
              <w:pStyle w:val="TableText"/>
            </w:pPr>
            <w:r>
              <w:rPr>
                <w:b/>
              </w:rPr>
              <w:t xml:space="preserve">制服貸与</w:t>
            </w:r>
          </w:p>
        </w:tc>
        <w:tc>
          <w:tcPr>
            <w:tcW w:w="6300" w:type="dxa"/>
          </w:tcPr>
          <w:p>
            <w:pPr>
              <w:pStyle w:val="TableText"/>
            </w:pPr>
            <w:r>
              <w:t xml:space="preserve">あり</w:t>
            </w:r>
          </w:p>
        </w:tc>
      </w:tr>
      <w:tr>
        <w:tc>
          <w:tcPr>
            <w:tcW w:w="2700" w:type="dxa"/>
            <w:shd w:val="clear" w:color="auto" w:fill="F3EFEC"/>
          </w:tcPr>
          <w:p>
            <w:pPr>
              <w:pStyle w:val="TableText"/>
            </w:pPr>
            <w:r>
              <w:rPr>
                <w:b/>
              </w:rPr>
              <w:t xml:space="preserve">社会保険制度</w:t>
            </w:r>
          </w:p>
        </w:tc>
        <w:tc>
          <w:tcPr>
            <w:tcW w:w="6300" w:type="dxa"/>
          </w:tcPr>
          <w:p>
            <w:pPr>
              <w:pStyle w:val="TableText"/>
            </w:pPr>
            <w:r>
              <w:t xml:space="preserve">あり（健康保険、厚生年金、雇用保険など）</w:t>
            </w:r>
          </w:p>
        </w:tc>
      </w:tr>
      <w:tr>
        <w:tc>
          <w:tcPr>
            <w:tcW w:w="2700" w:type="dxa"/>
            <w:shd w:val="clear" w:color="auto" w:fill="F3EFEC"/>
          </w:tcPr>
          <w:p>
            <w:pPr>
              <w:pStyle w:val="TableText"/>
            </w:pPr>
            <w:r>
              <w:rPr>
                <w:b/>
              </w:rPr>
              <w:t xml:space="preserve">産休・育休取得実績</w:t>
            </w:r>
          </w:p>
        </w:tc>
        <w:tc>
          <w:tcPr>
            <w:tcW w:w="6300" w:type="dxa"/>
          </w:tcPr>
          <w:p>
            <w:pPr>
              <w:pStyle w:val="TableText"/>
            </w:pPr>
            <w:r>
              <w:t xml:space="preserve">あり</w:t>
            </w:r>
          </w:p>
        </w:tc>
      </w:tr>
      <w:tr>
        <w:tc>
          <w:tcPr>
            <w:tcW w:w="2700" w:type="dxa"/>
            <w:shd w:val="clear" w:color="auto" w:fill="F3EFEC"/>
          </w:tcPr>
          <w:p>
            <w:pPr>
              <w:pStyle w:val="TableText"/>
            </w:pPr>
            <w:r>
              <w:rPr>
                <w:b/>
              </w:rPr>
              <w:t xml:space="preserve">試用期間</w:t>
            </w:r>
          </w:p>
        </w:tc>
        <w:tc>
          <w:tcPr>
            <w:tcW w:w="6300" w:type="dxa"/>
          </w:tcPr>
          <w:p>
            <w:pPr>
              <w:pStyle w:val="TableText"/>
            </w:pPr>
            <w:r>
              <w:t xml:space="preserve">3ヶ月（同条件）</w:t>
            </w:r>
          </w:p>
        </w:tc>
      </w:tr>
      <w:tr>
        <w:tc>
          <w:tcPr>
            <w:tcW w:w="2700" w:type="dxa"/>
            <w:shd w:val="clear" w:color="auto" w:fill="F3EFEC"/>
          </w:tcPr>
          <w:p>
            <w:pPr>
              <w:pStyle w:val="TableText"/>
            </w:pPr>
            <w:r>
              <w:rPr>
                <w:b/>
              </w:rPr>
              <w:t xml:space="preserve">有給休暇</w:t>
            </w:r>
          </w:p>
        </w:tc>
        <w:tc>
          <w:tcPr>
            <w:tcW w:w="6300" w:type="dxa"/>
          </w:tcPr>
          <w:p>
            <w:pPr>
              <w:pStyle w:val="TableText"/>
            </w:pPr>
            <w:r>
              <w:t xml:space="preserve">あり（入社6ヶ月後から付与）</w:t>
            </w:r>
          </w:p>
        </w:tc>
      </w:tr>
    </w:tbl>
    <w:p/>
    <w:p>
      <w:r>
        <w:t xml:space="preserve">給与、勤務時間、休日、勤務地は、職種・施設・雇用形態によって異なります。募集要項一覧でご確認ください。</w:t>
      </w:r>
    </w:p>
    <w:p>
      <w:pPr>
        <w:pStyle w:val="Question"/>
      </w:pPr>
      <w:r>
        <w:t xml:space="preserve">【バナー】募集要項一覧を見る</w:t>
      </w:r>
    </w:p>
    <w:p>
      <w:pPr>
        <w:pStyle w:val="Heading2"/>
      </w:pPr>
      <w:r>
        <w:t xml:space="preserve">子育てとの両立を支える手当</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制度</w:t>
            </w:r>
          </w:p>
        </w:tc>
        <w:tc>
          <w:tcPr>
            <w:tcW w:w="6300" w:type="dxa"/>
          </w:tcPr>
          <w:p>
            <w:pPr>
              <w:pStyle w:val="TableText"/>
            </w:pPr>
            <w:r>
              <w:t xml:space="preserve">内容</w:t>
            </w:r>
          </w:p>
        </w:tc>
      </w:tr>
      <w:tr>
        <w:tc>
          <w:tcPr>
            <w:tcW w:w="2700" w:type="dxa"/>
            <w:shd w:val="clear" w:color="auto" w:fill="F3EFEC"/>
          </w:tcPr>
          <w:p>
            <w:pPr>
              <w:pStyle w:val="TableText"/>
            </w:pPr>
            <w:r>
              <w:rPr>
                <w:b/>
              </w:rPr>
              <w:t xml:space="preserve">子育て支援手当</w:t>
            </w:r>
          </w:p>
        </w:tc>
        <w:tc>
          <w:tcPr>
            <w:tcW w:w="6300" w:type="dxa"/>
          </w:tcPr>
          <w:p>
            <w:pPr>
              <w:pStyle w:val="TableText"/>
            </w:pPr>
            <w:r>
              <w:t xml:space="preserve">2024年11月より支給を開始しています。</w:t>
            </w:r>
          </w:p>
        </w:tc>
      </w:tr>
      <w:tr>
        <w:tc>
          <w:tcPr>
            <w:tcW w:w="2700" w:type="dxa"/>
            <w:shd w:val="clear" w:color="auto" w:fill="F3EFEC"/>
          </w:tcPr>
          <w:p>
            <w:pPr>
              <w:pStyle w:val="TableText"/>
            </w:pPr>
            <w:r>
              <w:rPr>
                <w:b/>
              </w:rPr>
              <w:t xml:space="preserve">一人親手当</w:t>
            </w:r>
          </w:p>
        </w:tc>
        <w:tc>
          <w:tcPr>
            <w:tcW w:w="6300" w:type="dxa"/>
          </w:tcPr>
          <w:p>
            <w:pPr>
              <w:pStyle w:val="TableText"/>
            </w:pPr>
            <w:r>
              <w:t xml:space="preserve">2024年11月より支給を開始しています。</w:t>
            </w:r>
          </w:p>
        </w:tc>
      </w:tr>
    </w:tbl>
    <w:p/>
    <w:p>
      <w:pPr>
        <w:pStyle w:val="Heading2"/>
      </w:pPr>
      <w:r>
        <w:t xml:space="preserve">キャリアの進み方</w:t>
      </w:r>
    </w:p>
    <w:p>
      <w:pPr>
        <w:pStyle w:val="Heading2"/>
      </w:pPr>
      <w:r>
        <w:t xml:space="preserve">デジタル機器のある職場で働きます</w:t>
      </w:r>
    </w:p>
    <w:p>
      <w:pPr>
        <w:pStyle w:val="Photo"/>
      </w:pPr>
      <w:r>
        <w:t xml:space="preserve">写真：機器を使用している場面</w:t>
      </w:r>
    </w:p>
    <w:p>
      <w:r>
        <w:t xml:space="preserve">Welfareすずらんは、見守りセンサーや情報共有システムなどのデジタル機器を各施設へ導入しています。記録や情報共有の手間を減らし、入居されている方の変化に早く気づけるようにするためです。</w:t>
      </w:r>
    </w:p>
    <w:p>
      <w:r>
        <w:t xml:space="preserve">どの機器をどの施設に導入しているかは、介護DXのページでご覧いただけます。</w:t>
      </w:r>
    </w:p>
    <w:p>
      <w:pPr>
        <w:pStyle w:val="Question"/>
      </w:pPr>
      <w:r>
        <w:t xml:space="preserve">【バナー】導入している機器を見る</w:t>
      </w:r>
    </w:p>
    <w:p>
      <w:pPr>
        <w:pStyle w:val="Heading2"/>
      </w:pPr>
      <w:r>
        <w:t xml:space="preserve">制度の詳細は、実際の現場で聞いてみませんか</w:t>
      </w:r>
    </w:p>
    <w:p>
      <w:r>
        <w:t xml:space="preserve">制度は、実際にどう使われているかで見え方が変わります。職場見学の際に、働いているスタッフへ直接お聞きください。</w:t>
      </w:r>
    </w:p>
    <w:p>
      <w:pPr>
        <w:pStyle w:val="Question"/>
      </w:pPr>
      <w:r>
        <w:t xml:space="preserve">【バナー】職場見学・応募前相談を申し込む</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